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kern w:val="1"/>
          <w:sz w:val="28"/>
          <w:lang w:val="en-US" w:eastAsia="zh-CN"/>
        </w:rPr>
      </w:pPr>
      <w:r>
        <w:rPr>
          <w:rFonts w:hint="eastAsia"/>
          <w:kern w:val="1"/>
          <w:sz w:val="28"/>
          <w:lang w:val="en-US" w:eastAsia="zh-CN"/>
        </w:rPr>
        <w:t>采购需求及询价响应文件格式</w:t>
      </w:r>
    </w:p>
    <w:p>
      <w:pPr>
        <w:rPr>
          <w:rFonts w:hint="eastAsia"/>
          <w:kern w:val="1"/>
          <w:sz w:val="28"/>
          <w:lang w:val="zh-CN"/>
        </w:rPr>
      </w:pPr>
    </w:p>
    <w:p>
      <w:pPr>
        <w:rPr>
          <w:rFonts w:hint="default" w:eastAsiaTheme="minorEastAsia"/>
          <w:kern w:val="1"/>
          <w:sz w:val="28"/>
          <w:lang w:val="en-US" w:eastAsia="zh-CN"/>
        </w:rPr>
      </w:pPr>
      <w:r>
        <w:rPr>
          <w:rFonts w:hint="eastAsia"/>
          <w:kern w:val="1"/>
          <w:sz w:val="28"/>
          <w:lang w:val="en-US" w:eastAsia="zh-CN"/>
        </w:rPr>
        <w:t>采购需求</w:t>
      </w:r>
    </w:p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18"/>
          <w:lang w:eastAsia="zh-CN"/>
        </w:rPr>
        <w:t>一</w:t>
      </w:r>
      <w:r>
        <w:rPr>
          <w:rFonts w:hint="eastAsia" w:ascii="宋体" w:hAnsi="宋体" w:eastAsia="宋体"/>
          <w:b/>
          <w:bCs/>
          <w:sz w:val="24"/>
          <w:szCs w:val="18"/>
        </w:rPr>
        <w:t>、</w:t>
      </w:r>
      <w:r>
        <w:rPr>
          <w:rFonts w:hint="eastAsia" w:ascii="宋体" w:hAnsi="宋体" w:eastAsia="宋体"/>
          <w:b/>
          <w:bCs/>
          <w:sz w:val="24"/>
          <w:szCs w:val="18"/>
          <w:lang w:eastAsia="zh-CN"/>
        </w:rPr>
        <w:t>规格型号数量</w:t>
      </w:r>
    </w:p>
    <w:tbl>
      <w:tblPr>
        <w:tblStyle w:val="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06"/>
        <w:gridCol w:w="2444"/>
        <w:gridCol w:w="1012"/>
        <w:gridCol w:w="983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序号</w:t>
            </w: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货物名称</w:t>
            </w:r>
          </w:p>
        </w:tc>
        <w:tc>
          <w:tcPr>
            <w:tcW w:w="1434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技术参数及要求</w:t>
            </w:r>
          </w:p>
        </w:tc>
        <w:tc>
          <w:tcPr>
            <w:tcW w:w="59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数量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（单位）</w:t>
            </w:r>
          </w:p>
        </w:tc>
        <w:tc>
          <w:tcPr>
            <w:tcW w:w="577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所属行业</w:t>
            </w:r>
          </w:p>
        </w:tc>
        <w:tc>
          <w:tcPr>
            <w:tcW w:w="66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  <w:lang w:val="en-US" w:eastAsia="zh-CN"/>
              </w:rPr>
              <w:t>控制单价（元）</w:t>
            </w:r>
          </w:p>
        </w:tc>
        <w:tc>
          <w:tcPr>
            <w:tcW w:w="66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13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  <w:t>▲轮胎</w:t>
            </w:r>
          </w:p>
        </w:tc>
        <w:tc>
          <w:tcPr>
            <w:tcW w:w="1434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1、规格：275/70R22.5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2、层级：18PR</w:t>
            </w:r>
          </w:p>
          <w:p>
            <w:pPr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参考品牌：佳通、双钱、回力、朝阳、正新。</w:t>
            </w:r>
          </w:p>
        </w:tc>
        <w:tc>
          <w:tcPr>
            <w:tcW w:w="59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2条</w:t>
            </w:r>
          </w:p>
        </w:tc>
        <w:tc>
          <w:tcPr>
            <w:tcW w:w="577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橡胶和塑料制品业</w:t>
            </w:r>
          </w:p>
        </w:tc>
        <w:tc>
          <w:tcPr>
            <w:tcW w:w="66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  <w:t>1100</w:t>
            </w:r>
          </w:p>
        </w:tc>
        <w:tc>
          <w:tcPr>
            <w:tcW w:w="66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  <w:t>▲轮胎</w:t>
            </w:r>
          </w:p>
        </w:tc>
        <w:tc>
          <w:tcPr>
            <w:tcW w:w="1434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1、规格：10R22.5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2、层级：16PR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参考品牌：佳通、双钱、回力、朝阳、正新。</w:t>
            </w:r>
          </w:p>
        </w:tc>
        <w:tc>
          <w:tcPr>
            <w:tcW w:w="59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10条</w:t>
            </w:r>
          </w:p>
        </w:tc>
        <w:tc>
          <w:tcPr>
            <w:tcW w:w="57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highlight w:val="none"/>
                <w:lang w:val="en-US" w:eastAsia="zh-CN"/>
              </w:rPr>
              <w:t>087</w:t>
            </w:r>
            <w:bookmarkStart w:id="0" w:name="_GoBack"/>
            <w:bookmarkEnd w:id="0"/>
          </w:p>
        </w:tc>
        <w:tc>
          <w:tcPr>
            <w:tcW w:w="66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13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64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  <w:t>▲轮胎</w:t>
            </w:r>
          </w:p>
        </w:tc>
        <w:tc>
          <w:tcPr>
            <w:tcW w:w="1434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1、规格：8.25R20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2、层级：14PR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参考品牌：佳通、双钱、回力、朝阳、正新。</w:t>
            </w:r>
          </w:p>
        </w:tc>
        <w:tc>
          <w:tcPr>
            <w:tcW w:w="59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10条</w:t>
            </w:r>
          </w:p>
        </w:tc>
        <w:tc>
          <w:tcPr>
            <w:tcW w:w="57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  <w:t>980</w:t>
            </w:r>
          </w:p>
        </w:tc>
        <w:tc>
          <w:tcPr>
            <w:tcW w:w="66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  <w:t>▲轮胎</w:t>
            </w:r>
          </w:p>
        </w:tc>
        <w:tc>
          <w:tcPr>
            <w:tcW w:w="1434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1、规格：11R22.5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2、层级：16PR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参考品牌：佳通、双钱、回力、朝阳、正新。</w:t>
            </w:r>
          </w:p>
        </w:tc>
        <w:tc>
          <w:tcPr>
            <w:tcW w:w="594" w:type="pct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40条</w:t>
            </w:r>
          </w:p>
        </w:tc>
        <w:tc>
          <w:tcPr>
            <w:tcW w:w="57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  <w:t>1120</w:t>
            </w:r>
          </w:p>
        </w:tc>
        <w:tc>
          <w:tcPr>
            <w:tcW w:w="66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二、技术要求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1、质量保证要求：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（1）应符合国家、行业现行颁发的有关标准、规程和规范，满足车辆实际使用要求。（GB9744-2015:《载重汽车轮胎》、CNCA-C12-01:2015），具有国家强制认证标识，在正常使用情况下，满足车辆行驶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0000公里以上。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（2）轮胎必须为原厂正品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全新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轮胎，严禁提供翻新胎。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（3）各型号轮胎要满足相应型号轮胎的出厂技术参数和尺寸要求。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（4）轮胎上各项标识清晰可见，包括品牌标识、轮胎规格标识、国家强制性产品认证标识、制造编号标识、子午线轮胎标识、胎面花纹名称等标识。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（5）所有新胎出厂时间不能超过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  <w:t>）出现鼓包、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肩空、子口开裂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  <w:t>等质量问题，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按“三包”要求执行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2、质量保证及售后服务：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成交供应商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应按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  <w:t>询价通知书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规定的货物性能、技术要求、质量标准向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提供未经使用的全新产品。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如在使用过程中发生质量问题，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成交供应商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在接到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通知后在24小时到达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在质保期内，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成交供应商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应对货物出现的质量及安全问题负责处理解决并承担一切费用。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上述的货物免费保修期为货物自带保修期限，因人为因素出现的故障不在免费保修范围内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供应商提供的产品必须为正品行货，如以次充好，一经发现，没收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其他要求：①提供产品的一切有效说明及合格证书。②报价应为到达价，包含材料费、换胎费及税金，以到达价作为比价依据。③成交后，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供货期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内供应商不得以任何理由要求提价。④产品按需方要求按时按需供货，保证正常供应，影响正常维修使用所造成的损失，一切由供方承担。⑤供方负责采购材料的装卸工作。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、交货日期要求：按采购单位要求的供货时间按时交货，保证交货质量、数量、规格型号准确无误。供应商所在地理位置必须为所有车辆不限行路段；如是部分车辆限行的路段，需提供不限行路段的换胎地点，或提供免费上门换胎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、报价要求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1、投标供应商的报价应包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含有所投货物、税费及包装、运输、保险、和交付后规定免费维保期内维保、及合同明示或暗示的所有可预见和不可预见的一般风险、责任和义务等所有的一切相关费用等环节所发生的一切费用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。投标报价为签订合同的依据。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FF000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sz w:val="24"/>
          <w:szCs w:val="24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sz w:val="24"/>
          <w:szCs w:val="24"/>
          <w:highlight w:val="none"/>
          <w:lang w:eastAsia="zh-CN"/>
        </w:rPr>
        <w:t>供应商每一货物的报价，不得超过相应货物的控制单价，否则视为报价无效。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采购人有要求成交供应商分阶段、分批量供货的调整权利，其不涉及中标单价调整。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、项目实施时，采购人有权对各采购数量的调整的权利，其不涉及中标单价调整。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Style w:val="10"/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1、</w:t>
      </w:r>
      <w:r>
        <w:rPr>
          <w:rStyle w:val="10"/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安装调试、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  <w:t>质保及售后服务要求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供应商应保证货物是全新、未使用过的，并完全符合合同规定的质量、规格和性能的要求的正品。供应商应保证其货物在正确使用和保养的条件下，在其使用寿命内应具有满意的性能。在货物最终验收后的质量保证期内，卖方应对由于设计、工艺或材料的缺陷而发生的任何不足或故障负责，费用由卖方负担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若产品的外包装及产品破损、受潮等由供方无条件负责。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在质保期内，供应商在收到买方关于产品质量问题的通知后七天内，应免费维修或更换有缺陷的货物或部件。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eastAsia="zh-CN"/>
        </w:rPr>
        <w:t>（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4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eastAsia="zh-CN"/>
        </w:rPr>
        <w:t>）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如果供应商在收到通知七天后没有弥补缺陷，买方可采取必要的补救措施，但风险和费用将由卖方承担。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</w:pPr>
      <w:r>
        <w:rPr>
          <w:rStyle w:val="10"/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2、</w:t>
      </w:r>
      <w:r>
        <w:rPr>
          <w:rStyle w:val="10"/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相关权利和义务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eastAsia="zh-CN"/>
        </w:rPr>
        <w:t>（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1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eastAsia="zh-CN"/>
        </w:rPr>
        <w:t>）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采购人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和见证方在验收时对不符合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询价通知书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要求的服务有权拒绝接收和追究违约责任。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eastAsia="zh-CN"/>
        </w:rPr>
        <w:t>（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2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eastAsia="zh-CN"/>
        </w:rPr>
        <w:t>）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采购人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有权监督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供应商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的售后服务，并对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供应商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的售后服务不符合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（3）采购人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在合同规定期限内协助履行付款责任。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（4）供应商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有义务按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成交后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的售后服务承诺提供良好的服务。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</w:pPr>
      <w:r>
        <w:rPr>
          <w:rStyle w:val="10"/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3、其他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eastAsia="zh-CN"/>
        </w:rPr>
        <w:t>（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val="en-US" w:eastAsia="zh-CN"/>
        </w:rPr>
        <w:t>1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eastAsia="zh-CN"/>
        </w:rPr>
        <w:t>）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</w:rPr>
        <w:t>采购人在使用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eastAsia="zh-CN"/>
        </w:rPr>
        <w:t>成交供应商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</w:rPr>
        <w:t>配件的过程中如发现存在质量问题，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eastAsia="zh-CN"/>
        </w:rPr>
        <w:t>成交供应商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</w:rPr>
        <w:t>必须免费更换，并承担全部费用。如因配件质量问题造成采购人车辆损坏的，由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eastAsia="zh-CN"/>
        </w:rPr>
        <w:t>成交供应商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</w:rPr>
        <w:t>按价赔偿，造成车辆停运的，由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eastAsia="zh-CN"/>
        </w:rPr>
        <w:t>成交供应商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</w:rPr>
        <w:t>承担.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eastAsia="zh-CN"/>
        </w:rPr>
        <w:t>（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val="en-US" w:eastAsia="zh-CN"/>
        </w:rPr>
        <w:t>2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eastAsia="zh-CN"/>
        </w:rPr>
        <w:t>）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</w:rPr>
        <w:t>不在铺货范围的货物供应商须在2天内及时供货。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eastAsia="zh-CN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eastAsia="zh-CN"/>
        </w:rPr>
        <w:t>（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val="en-US" w:eastAsia="zh-CN"/>
        </w:rPr>
        <w:t>3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eastAsia="zh-CN"/>
        </w:rPr>
        <w:t>）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</w:rPr>
        <w:t>以上条款所述：造成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eastAsia="zh-CN"/>
        </w:rPr>
        <w:t>采购人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</w:rPr>
        <w:t>车辆停运、配件质量问题造成采购人车辆损坏停运的， 停运经济损失均按照500元/天计算，由中标供应商承担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eastAsia="zh-CN"/>
        </w:rPr>
        <w:t>（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val="en-US" w:eastAsia="zh-CN"/>
        </w:rPr>
        <w:t>4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  <w:lang w:eastAsia="zh-CN"/>
        </w:rPr>
        <w:t>）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highlight w:val="none"/>
        </w:rPr>
        <w:t>所提供配件种类规格必须与巢湖公交现有车辆配件相匹配，满足其正常使用功能。不得降低其现有配置。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</w:pPr>
      <w:r>
        <w:rPr>
          <w:rStyle w:val="10"/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4</w:t>
      </w:r>
      <w:r>
        <w:rPr>
          <w:rStyle w:val="10"/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、违约责任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/>
          <w:kern w:val="1"/>
          <w:sz w:val="28"/>
          <w:lang w:val="zh-CN"/>
        </w:rPr>
      </w:pP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双方均应遵守本合同，如有违约，将赔偿因违约给对方造成的经济损失，并向对方支付本合同总额5%的违约金。若因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供应商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原因在合同规定期限内无法交货，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采购人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有权终止合同，不予退还履约保证金或经双方协商同意继续履行合同，除不予退还履约保证金外，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  <w:lang w:val="en-US" w:eastAsia="zh-CN"/>
        </w:rPr>
        <w:t>采购人</w:t>
      </w:r>
      <w:r>
        <w:rPr>
          <w:rStyle w:val="1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  <w:t>还将视情况在延迟交货期内每天按合同总额3%的标准收取违约金，并提请政府采购监管部门将其列入不良行为记录。</w:t>
      </w:r>
      <w:r>
        <w:rPr>
          <w:rFonts w:hint="eastAsia"/>
          <w:kern w:val="1"/>
          <w:sz w:val="28"/>
          <w:lang w:val="zh-CN"/>
        </w:rPr>
        <w:br w:type="page"/>
      </w:r>
    </w:p>
    <w:p>
      <w:pPr>
        <w:pStyle w:val="3"/>
        <w:spacing w:line="360" w:lineRule="auto"/>
        <w:jc w:val="left"/>
        <w:rPr>
          <w:rFonts w:hint="default" w:eastAsiaTheme="minorEastAsia"/>
          <w:kern w:val="1"/>
          <w:sz w:val="28"/>
          <w:lang w:val="en-US" w:eastAsia="zh-CN"/>
        </w:rPr>
      </w:pPr>
      <w:r>
        <w:rPr>
          <w:rFonts w:hint="eastAsia"/>
          <w:kern w:val="1"/>
          <w:sz w:val="28"/>
          <w:lang w:val="en-US" w:eastAsia="zh-CN"/>
        </w:rPr>
        <w:t>附1：营业执照</w:t>
      </w:r>
    </w:p>
    <w:p>
      <w:pPr>
        <w:pStyle w:val="3"/>
        <w:spacing w:line="360" w:lineRule="auto"/>
        <w:jc w:val="left"/>
        <w:rPr>
          <w:rFonts w:hint="default" w:eastAsiaTheme="minorEastAsia"/>
          <w:kern w:val="1"/>
          <w:sz w:val="28"/>
          <w:lang w:val="en-US" w:eastAsia="zh-CN"/>
        </w:rPr>
      </w:pPr>
      <w:r>
        <w:rPr>
          <w:rFonts w:hint="eastAsia"/>
          <w:kern w:val="1"/>
          <w:sz w:val="28"/>
          <w:lang w:val="zh-CN"/>
        </w:rPr>
        <w:t>附</w:t>
      </w:r>
      <w:r>
        <w:rPr>
          <w:rFonts w:hint="eastAsia"/>
          <w:kern w:val="1"/>
          <w:sz w:val="28"/>
          <w:lang w:val="en-US" w:eastAsia="zh-CN"/>
        </w:rPr>
        <w:t>2</w:t>
      </w:r>
      <w:r>
        <w:rPr>
          <w:rFonts w:hint="eastAsia"/>
          <w:kern w:val="1"/>
          <w:sz w:val="28"/>
          <w:lang w:val="zh-CN"/>
        </w:rPr>
        <w:t>：</w:t>
      </w:r>
      <w:r>
        <w:rPr>
          <w:rFonts w:hint="eastAsia"/>
          <w:kern w:val="1"/>
          <w:sz w:val="28"/>
          <w:lang w:val="en-US" w:eastAsia="zh-CN"/>
        </w:rPr>
        <w:t>授权委托书</w:t>
      </w:r>
    </w:p>
    <w:p>
      <w:pPr>
        <w:widowControl/>
        <w:spacing w:before="100" w:beforeAutospacing="1" w:after="100" w:afterAutospacing="1" w:line="600" w:lineRule="auto"/>
        <w:ind w:firstLine="562"/>
        <w:jc w:val="center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shd w:val="clear" w:color="auto" w:fill="FFFFFF"/>
        </w:rPr>
        <w:t xml:space="preserve">授权委托书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本授权书声明：</w:t>
      </w:r>
      <w:r>
        <w:rPr>
          <w:rFonts w:hint="eastAsia" w:ascii="宋体" w:hAnsi="宋体" w:cs="宋体"/>
          <w:b w:val="0"/>
          <w:bCs/>
          <w:sz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（投标人名称）的</w:t>
      </w:r>
      <w:r>
        <w:rPr>
          <w:rFonts w:hint="eastAsia" w:ascii="宋体" w:hAnsi="宋体" w:cs="宋体"/>
          <w:b w:val="0"/>
          <w:bCs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（法定代表人姓名、职务）代表本公司委托</w:t>
      </w:r>
      <w:r>
        <w:rPr>
          <w:rFonts w:hint="eastAsia" w:ascii="宋体" w:hAnsi="宋体" w:cs="宋体"/>
          <w:b w:val="0"/>
          <w:bCs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（委托代理人的姓名、职务）为我方的合法代理人，参加“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巢湖市金盾集团公交公司春节期间轮胎备货采购”的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询价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 xml:space="preserve">、评审答疑、合同签订以及合同执行等，可以用我方名义全权处理一切与之有关的事宜，其法律后果由我方承担。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 xml:space="preserve">代理人无转委托权。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u w:val="singl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法定代表人签字：</w:t>
      </w:r>
      <w:r>
        <w:rPr>
          <w:rFonts w:hint="eastAsia" w:ascii="宋体" w:hAnsi="宋体" w:eastAsia="宋体" w:cs="宋体"/>
          <w:b w:val="0"/>
          <w:bCs/>
          <w:sz w:val="24"/>
          <w:u w:val="single"/>
          <w:lang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u w:val="single"/>
          <w:lang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u w:val="single"/>
          <w:lang w:eastAsia="zh-CN"/>
        </w:rPr>
        <w:t>（签字或电子签章）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b w:val="0"/>
          <w:bCs/>
          <w:sz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委托代理人签字：</w:t>
      </w:r>
      <w:r>
        <w:rPr>
          <w:rFonts w:hint="eastAsia" w:ascii="宋体" w:hAnsi="宋体" w:eastAsia="宋体" w:cs="宋体"/>
          <w:b w:val="0"/>
          <w:bCs/>
          <w:sz w:val="24"/>
          <w:u w:val="single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u w:val="single"/>
          <w:lang w:val="en-US" w:eastAsia="zh-CN"/>
        </w:rPr>
        <w:t xml:space="preserve">    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投标人名称(加盖公章)：</w:t>
      </w:r>
      <w:r>
        <w:rPr>
          <w:rFonts w:hint="eastAsia" w:ascii="宋体" w:hAnsi="宋体" w:cs="宋体"/>
          <w:b w:val="0"/>
          <w:bCs/>
          <w:sz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 xml:space="preserve">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日期：</w:t>
      </w:r>
      <w:r>
        <w:rPr>
          <w:rFonts w:hint="eastAsia" w:ascii="宋体" w:hAnsi="宋体" w:cs="宋体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年</w:t>
      </w:r>
      <w:r>
        <w:rPr>
          <w:rFonts w:hint="eastAsia" w:ascii="宋体" w:hAnsi="宋体" w:cs="宋体"/>
          <w:b w:val="0"/>
          <w:bCs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月</w:t>
      </w:r>
      <w:r>
        <w:rPr>
          <w:rFonts w:hint="eastAsia" w:ascii="宋体" w:hAnsi="宋体" w:cs="宋体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 xml:space="preserve">日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 xml:space="preserve">附：委托代理人身份证正反面复印件  </w:t>
      </w:r>
    </w:p>
    <w:p>
      <w:pPr>
        <w:pStyle w:val="7"/>
        <w:rPr>
          <w:rFonts w:hint="eastAsia" w:eastAsia="宋体"/>
          <w:b/>
          <w:sz w:val="24"/>
          <w:lang w:eastAsia="zh-CN"/>
        </w:rPr>
      </w:pPr>
    </w:p>
    <w:p>
      <w:pPr>
        <w:pStyle w:val="7"/>
        <w:rPr>
          <w:rFonts w:hint="eastAsia"/>
          <w:lang w:eastAsia="zh-CN"/>
        </w:rPr>
      </w:pPr>
    </w:p>
    <w:p/>
    <w:p>
      <w:pPr>
        <w:rPr>
          <w:rFonts w:hint="eastAsia"/>
          <w:kern w:val="1"/>
          <w:sz w:val="28"/>
          <w:lang w:val="zh-CN"/>
        </w:rPr>
      </w:pPr>
      <w:r>
        <w:rPr>
          <w:rFonts w:hint="eastAsia"/>
          <w:kern w:val="1"/>
          <w:sz w:val="28"/>
          <w:lang w:val="zh-CN"/>
        </w:rPr>
        <w:br w:type="page"/>
      </w:r>
    </w:p>
    <w:p>
      <w:pPr>
        <w:pStyle w:val="3"/>
        <w:spacing w:line="360" w:lineRule="auto"/>
        <w:jc w:val="left"/>
        <w:rPr>
          <w:rFonts w:hint="eastAsia" w:eastAsiaTheme="minorEastAsia"/>
          <w:kern w:val="1"/>
          <w:sz w:val="28"/>
          <w:lang w:val="en-US" w:eastAsia="zh-CN"/>
        </w:rPr>
      </w:pPr>
      <w:r>
        <w:rPr>
          <w:rFonts w:hint="eastAsia"/>
          <w:kern w:val="1"/>
          <w:sz w:val="28"/>
          <w:lang w:val="zh-CN"/>
        </w:rPr>
        <w:t>附</w:t>
      </w:r>
      <w:r>
        <w:rPr>
          <w:rFonts w:hint="eastAsia"/>
          <w:kern w:val="1"/>
          <w:sz w:val="28"/>
          <w:lang w:val="en-US" w:eastAsia="zh-CN"/>
        </w:rPr>
        <w:t>3</w:t>
      </w:r>
      <w:r>
        <w:rPr>
          <w:rFonts w:hint="eastAsia"/>
          <w:kern w:val="1"/>
          <w:sz w:val="28"/>
          <w:lang w:val="zh-CN"/>
        </w:rPr>
        <w:t>：</w:t>
      </w:r>
    </w:p>
    <w:p>
      <w:pPr>
        <w:pStyle w:val="3"/>
        <w:spacing w:line="360" w:lineRule="auto"/>
        <w:rPr>
          <w:kern w:val="1"/>
          <w:sz w:val="28"/>
          <w:lang w:val="zh-CN"/>
        </w:rPr>
      </w:pPr>
      <w:r>
        <w:rPr>
          <w:rFonts w:hint="eastAsia"/>
          <w:kern w:val="1"/>
          <w:sz w:val="28"/>
          <w:lang w:val="zh-CN"/>
        </w:rPr>
        <w:t>报价</w:t>
      </w:r>
      <w:r>
        <w:rPr>
          <w:kern w:val="1"/>
          <w:sz w:val="28"/>
          <w:lang w:val="zh-CN"/>
        </w:rPr>
        <w:t>表</w:t>
      </w:r>
    </w:p>
    <w:tbl>
      <w:tblPr>
        <w:tblStyle w:val="8"/>
        <w:tblW w:w="88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6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项 目 名 称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kern w:val="1"/>
                <w:sz w:val="24"/>
                <w:lang w:eastAsia="zh-CN"/>
              </w:rPr>
              <w:t>巢湖市金盾集团公交公司春节期间轮胎备货采购</w:t>
            </w:r>
            <w:r>
              <w:rPr>
                <w:rFonts w:ascii="宋体" w:hAnsi="宋体" w:cs="宋体"/>
                <w:b/>
                <w:kern w:val="1"/>
                <w:sz w:val="24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2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投标人全称</w:t>
            </w:r>
          </w:p>
        </w:tc>
        <w:tc>
          <w:tcPr>
            <w:tcW w:w="6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2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投标范围</w:t>
            </w:r>
          </w:p>
        </w:tc>
        <w:tc>
          <w:tcPr>
            <w:tcW w:w="6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 w:eastAsiaTheme="minorEastAsia"/>
                <w:b/>
                <w:kern w:val="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1"/>
                <w:sz w:val="24"/>
                <w:lang w:eastAsia="zh-CN"/>
              </w:rPr>
              <w:t>全部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  <w:jc w:val="center"/>
        </w:trPr>
        <w:tc>
          <w:tcPr>
            <w:tcW w:w="2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投标报价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（人民币）</w:t>
            </w:r>
          </w:p>
        </w:tc>
        <w:tc>
          <w:tcPr>
            <w:tcW w:w="6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670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投标总价：    大写：</w:t>
            </w:r>
            <w:r>
              <w:rPr>
                <w:rFonts w:ascii="宋体" w:hAnsi="宋体" w:cs="宋体"/>
                <w:kern w:val="1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1"/>
                <w:sz w:val="24"/>
                <w:u w:val="single"/>
                <w:lang w:eastAsia="zh-CN"/>
              </w:rPr>
              <w:t>元</w:t>
            </w:r>
          </w:p>
          <w:p>
            <w:pPr>
              <w:spacing w:line="360" w:lineRule="auto"/>
              <w:ind w:right="-670" w:firstLine="1680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小写：</w:t>
            </w:r>
            <w:r>
              <w:rPr>
                <w:rFonts w:ascii="宋体" w:hAnsi="宋体" w:cs="宋体"/>
                <w:kern w:val="1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1"/>
                <w:sz w:val="24"/>
                <w:u w:val="single"/>
                <w:lang w:eastAsia="zh-CN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2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 w:eastAsiaTheme="minorEastAsia"/>
                <w:b/>
                <w:kern w:val="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1"/>
                <w:sz w:val="24"/>
                <w:lang w:val="en-US" w:eastAsia="zh-CN"/>
              </w:rPr>
              <w:t>供货期是否响应</w:t>
            </w:r>
          </w:p>
        </w:tc>
        <w:tc>
          <w:tcPr>
            <w:tcW w:w="6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670"/>
              <w:jc w:val="left"/>
              <w:rPr>
                <w:rFonts w:hint="eastAsia" w:ascii="宋体" w:hAnsi="宋体" w:cs="宋体" w:eastAsiaTheme="minorEastAsia"/>
                <w:kern w:val="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1"/>
                <w:sz w:val="24"/>
                <w:lang w:val="en-US" w:eastAsia="zh-CN"/>
              </w:rPr>
              <w:t>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2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b/>
                <w:kern w:val="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1"/>
                <w:sz w:val="24"/>
                <w:lang w:val="en-US" w:eastAsia="zh-CN"/>
              </w:rPr>
              <w:t>货物规格和技术要求是否响应</w:t>
            </w:r>
          </w:p>
        </w:tc>
        <w:tc>
          <w:tcPr>
            <w:tcW w:w="6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670"/>
              <w:jc w:val="left"/>
              <w:rPr>
                <w:rFonts w:hint="eastAsia" w:ascii="宋体" w:hAnsi="宋体" w:cs="宋体"/>
                <w:kern w:val="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1"/>
                <w:sz w:val="24"/>
                <w:lang w:val="en-US" w:eastAsia="zh-CN"/>
              </w:rPr>
              <w:t>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备注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 xml:space="preserve"> 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/>
          <w:kern w:val="1"/>
          <w:sz w:val="24"/>
          <w:lang w:val="en-US" w:eastAsia="zh-CN"/>
        </w:rPr>
      </w:pPr>
      <w:r>
        <w:rPr>
          <w:rFonts w:ascii="宋体" w:hAnsi="宋体" w:cs="宋体"/>
          <w:b/>
          <w:kern w:val="1"/>
          <w:sz w:val="24"/>
        </w:rPr>
        <w:t>备注：</w:t>
      </w:r>
      <w:r>
        <w:rPr>
          <w:rFonts w:ascii="宋体" w:hAnsi="宋体" w:cs="宋体"/>
          <w:kern w:val="1"/>
          <w:sz w:val="24"/>
          <w:u w:val="single"/>
        </w:rPr>
        <w:br w:type="textWrapping"/>
      </w:r>
      <w:r>
        <w:rPr>
          <w:rFonts w:ascii="宋体" w:hAnsi="宋体" w:cs="宋体"/>
          <w:b/>
          <w:kern w:val="1"/>
          <w:sz w:val="24"/>
        </w:rPr>
        <w:t>1、</w:t>
      </w:r>
      <w:r>
        <w:rPr>
          <w:rFonts w:hint="eastAsia" w:ascii="宋体" w:hAnsi="宋体" w:cs="宋体"/>
          <w:b/>
          <w:kern w:val="1"/>
          <w:sz w:val="24"/>
          <w:lang w:val="en-US" w:eastAsia="zh-CN"/>
        </w:rPr>
        <w:t>投标人报价包含所投货物安装、保险、包装、加工及加工损耗、运输、现场落地等工作所发生的一切应有费用。投标报价为签订合同的依据。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投标报价保留小数点后2位，例如：100000.00元整</w:t>
      </w:r>
    </w:p>
    <w:p>
      <w:pPr>
        <w:spacing w:line="360" w:lineRule="auto"/>
        <w:rPr>
          <w:rFonts w:ascii="宋体" w:hAnsi="宋体" w:cs="宋体"/>
          <w:b/>
          <w:kern w:val="1"/>
          <w:sz w:val="24"/>
        </w:rPr>
      </w:pPr>
    </w:p>
    <w:p>
      <w:pPr>
        <w:spacing w:line="360" w:lineRule="auto"/>
        <w:rPr>
          <w:rFonts w:ascii="宋体" w:hAnsi="宋体" w:cs="宋体"/>
          <w:b/>
          <w:kern w:val="1"/>
          <w:sz w:val="24"/>
        </w:rPr>
      </w:pPr>
    </w:p>
    <w:p>
      <w:pPr>
        <w:spacing w:line="360" w:lineRule="auto"/>
        <w:rPr>
          <w:rFonts w:ascii="宋体" w:hAnsi="宋体" w:cs="宋体"/>
          <w:b/>
          <w:kern w:val="1"/>
          <w:sz w:val="24"/>
        </w:rPr>
      </w:pPr>
      <w:r>
        <w:rPr>
          <w:rFonts w:hint="eastAsia" w:ascii="宋体" w:hAnsi="宋体" w:cs="宋体"/>
          <w:b/>
          <w:kern w:val="1"/>
          <w:sz w:val="24"/>
          <w:lang w:val="en-US" w:eastAsia="zh-CN"/>
        </w:rPr>
        <w:t>供应商</w:t>
      </w:r>
      <w:r>
        <w:rPr>
          <w:rFonts w:ascii="宋体" w:hAnsi="宋体" w:cs="宋体"/>
          <w:b/>
          <w:kern w:val="1"/>
          <w:sz w:val="24"/>
        </w:rPr>
        <w:t>公章：                                            日期：</w:t>
      </w:r>
    </w:p>
    <w:p>
      <w:pPr>
        <w:spacing w:line="360" w:lineRule="auto"/>
        <w:rPr>
          <w:rFonts w:ascii="宋体" w:hAnsi="宋体" w:cs="宋体"/>
          <w:b/>
          <w:kern w:val="1"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kern w:val="1"/>
          <w:sz w:val="24"/>
          <w:lang w:eastAsia="zh-CN"/>
        </w:rPr>
      </w:pPr>
      <w:r>
        <w:rPr>
          <w:rFonts w:hint="eastAsia" w:ascii="宋体" w:hAnsi="宋体" w:cs="宋体"/>
          <w:b/>
          <w:kern w:val="1"/>
          <w:sz w:val="24"/>
          <w:lang w:eastAsia="zh-CN"/>
        </w:rPr>
        <w:br w:type="page"/>
      </w:r>
    </w:p>
    <w:p>
      <w:pPr>
        <w:pStyle w:val="3"/>
        <w:spacing w:line="360" w:lineRule="auto"/>
        <w:jc w:val="left"/>
        <w:rPr>
          <w:rFonts w:hint="eastAsia" w:eastAsiaTheme="minorEastAsia"/>
          <w:kern w:val="1"/>
          <w:sz w:val="28"/>
          <w:lang w:val="en-US" w:eastAsia="zh-CN"/>
        </w:rPr>
      </w:pPr>
      <w:r>
        <w:rPr>
          <w:rFonts w:hint="eastAsia"/>
          <w:kern w:val="1"/>
          <w:sz w:val="28"/>
          <w:lang w:val="zh-CN"/>
        </w:rPr>
        <w:t>附</w:t>
      </w:r>
      <w:r>
        <w:rPr>
          <w:rFonts w:hint="eastAsia"/>
          <w:kern w:val="1"/>
          <w:sz w:val="28"/>
          <w:lang w:val="en-US" w:eastAsia="zh-CN"/>
        </w:rPr>
        <w:t>4</w:t>
      </w:r>
      <w:r>
        <w:rPr>
          <w:rFonts w:hint="eastAsia"/>
          <w:kern w:val="1"/>
          <w:sz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分项报价表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bCs/>
          <w:sz w:val="24"/>
          <w:lang w:val="en-US" w:eastAsia="zh-CN"/>
        </w:rPr>
      </w:pPr>
    </w:p>
    <w:tbl>
      <w:tblPr>
        <w:tblStyle w:val="8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75"/>
        <w:gridCol w:w="2159"/>
        <w:gridCol w:w="893"/>
        <w:gridCol w:w="868"/>
        <w:gridCol w:w="1004"/>
        <w:gridCol w:w="1000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序号</w:t>
            </w:r>
          </w:p>
        </w:tc>
        <w:tc>
          <w:tcPr>
            <w:tcW w:w="572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货物名称</w:t>
            </w:r>
          </w:p>
        </w:tc>
        <w:tc>
          <w:tcPr>
            <w:tcW w:w="1267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技术参数及要求</w:t>
            </w: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数量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（单位）</w:t>
            </w:r>
          </w:p>
        </w:tc>
        <w:tc>
          <w:tcPr>
            <w:tcW w:w="509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所属行业</w:t>
            </w: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  <w:lang w:val="en-US" w:eastAsia="zh-CN"/>
              </w:rPr>
              <w:t>单价（元）</w:t>
            </w: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  <w:lang w:val="en-US" w:eastAsia="zh-CN"/>
              </w:rPr>
              <w:t>小计（元）</w:t>
            </w: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  <w:lang w:val="en-US" w:eastAsia="zh-CN"/>
              </w:rPr>
              <w:t>投标品牌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363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57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  <w:t>▲轮胎</w:t>
            </w:r>
          </w:p>
        </w:tc>
        <w:tc>
          <w:tcPr>
            <w:tcW w:w="1267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1、规格：275/70R22.5</w:t>
            </w:r>
          </w:p>
          <w:p>
            <w:pPr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2、层级：18PR</w:t>
            </w: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2条</w:t>
            </w:r>
          </w:p>
        </w:tc>
        <w:tc>
          <w:tcPr>
            <w:tcW w:w="50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橡胶和塑料制品业</w:t>
            </w: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57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  <w:t>▲轮胎</w:t>
            </w:r>
          </w:p>
        </w:tc>
        <w:tc>
          <w:tcPr>
            <w:tcW w:w="1267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1、规格：10R22.5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2、层级：16PR</w:t>
            </w: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10条</w:t>
            </w:r>
          </w:p>
        </w:tc>
        <w:tc>
          <w:tcPr>
            <w:tcW w:w="50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63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57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  <w:t>▲轮胎</w:t>
            </w:r>
          </w:p>
        </w:tc>
        <w:tc>
          <w:tcPr>
            <w:tcW w:w="1267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1、规格：8.25R20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2、层级：14PR</w:t>
            </w: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10条</w:t>
            </w:r>
          </w:p>
        </w:tc>
        <w:tc>
          <w:tcPr>
            <w:tcW w:w="50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57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lang w:val="en-US" w:eastAsia="zh-CN" w:bidi="ar-SA"/>
              </w:rPr>
              <w:t>▲轮胎</w:t>
            </w:r>
          </w:p>
        </w:tc>
        <w:tc>
          <w:tcPr>
            <w:tcW w:w="1267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1、规格：11R22.5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  <w:t>2、层级：16PR</w:t>
            </w:r>
          </w:p>
        </w:tc>
        <w:tc>
          <w:tcPr>
            <w:tcW w:w="524" w:type="pct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40条</w:t>
            </w:r>
          </w:p>
        </w:tc>
        <w:tc>
          <w:tcPr>
            <w:tcW w:w="50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4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highlight w:val="none"/>
                <w:lang w:val="en-US" w:eastAsia="zh-CN"/>
              </w:rPr>
              <w:t>合计（元）</w:t>
            </w: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1"/>
          <w:sz w:val="24"/>
          <w:szCs w:val="24"/>
          <w:vertAlign w:val="baseline"/>
          <w:lang w:val="zh-CN" w:eastAsia="zh-CN"/>
        </w:rPr>
      </w:pPr>
      <w:r>
        <w:rPr>
          <w:rFonts w:hint="eastAsia" w:ascii="宋体" w:hAnsi="宋体" w:eastAsia="宋体" w:cs="宋体"/>
          <w:kern w:val="1"/>
          <w:sz w:val="24"/>
          <w:szCs w:val="24"/>
          <w:vertAlign w:val="baseline"/>
          <w:lang w:val="zh-CN"/>
        </w:rPr>
        <w:t>注：</w:t>
      </w:r>
      <w:r>
        <w:rPr>
          <w:rFonts w:hint="eastAsia" w:ascii="宋体" w:hAnsi="宋体" w:eastAsia="宋体" w:cs="宋体"/>
          <w:kern w:val="1"/>
          <w:sz w:val="24"/>
          <w:szCs w:val="24"/>
          <w:vertAlign w:val="baseline"/>
          <w:lang w:val="en-US" w:eastAsia="zh-CN"/>
        </w:rPr>
        <w:t>1、以上价格包含</w:t>
      </w:r>
      <w:r>
        <w:rPr>
          <w:rFonts w:hint="eastAsia" w:ascii="宋体" w:hAnsi="宋体" w:eastAsia="宋体" w:cs="宋体"/>
          <w:kern w:val="1"/>
          <w:sz w:val="24"/>
          <w:szCs w:val="24"/>
          <w:vertAlign w:val="baseline"/>
          <w:lang w:val="zh-CN"/>
        </w:rPr>
        <w:t>设备的生产（购买）、包装、运输、</w:t>
      </w:r>
      <w:r>
        <w:rPr>
          <w:rFonts w:hint="eastAsia" w:ascii="宋体" w:hAnsi="宋体" w:eastAsia="宋体" w:cs="宋体"/>
          <w:kern w:val="1"/>
          <w:sz w:val="24"/>
          <w:szCs w:val="24"/>
          <w:vertAlign w:val="baseline"/>
          <w:lang w:val="en-US" w:eastAsia="zh-CN"/>
        </w:rPr>
        <w:t>安装及</w:t>
      </w:r>
      <w:r>
        <w:rPr>
          <w:rFonts w:hint="eastAsia" w:ascii="宋体" w:hAnsi="宋体" w:eastAsia="宋体" w:cs="宋体"/>
          <w:kern w:val="1"/>
          <w:sz w:val="24"/>
          <w:szCs w:val="24"/>
          <w:vertAlign w:val="baseline"/>
          <w:lang w:val="zh-CN" w:eastAsia="zh-CN"/>
        </w:rPr>
        <w:t>税金。</w:t>
      </w:r>
    </w:p>
    <w:p>
      <w:pPr>
        <w:pStyle w:val="7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上述材料装订成册，并加盖公章。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BC44B4"/>
    <w:multiLevelType w:val="singleLevel"/>
    <w:tmpl w:val="B8BC44B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OWY2MDBjZjYxYmFhMDcxZWJmYTU4NDBjYzk5MGYifQ=="/>
  </w:docVars>
  <w:rsids>
    <w:rsidRoot w:val="7CC54C18"/>
    <w:rsid w:val="40C60E75"/>
    <w:rsid w:val="7CC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jc w:val="center"/>
      <w:outlineLvl w:val="2"/>
    </w:pPr>
    <w:rPr>
      <w:rFonts w:ascii="宋体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  <w:rPr>
      <w:rFonts w:ascii="@微软简标宋" w:hAnsi="@微软简标宋" w:eastAsia="@微软简标宋" w:cs="@微软简标宋"/>
      <w:szCs w:val="24"/>
      <w:lang w:val="zh-CN"/>
    </w:rPr>
  </w:style>
  <w:style w:type="paragraph" w:styleId="5">
    <w:name w:val="Body Text Indent"/>
    <w:basedOn w:val="1"/>
    <w:next w:val="6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Body Text First Indent 2"/>
    <w:basedOn w:val="5"/>
    <w:qFormat/>
    <w:uiPriority w:val="0"/>
    <w:pPr>
      <w:spacing w:after="120"/>
      <w:ind w:left="420" w:leftChars="200" w:firstLine="420" w:firstLineChars="200"/>
    </w:pPr>
    <w:rPr>
      <w:rFonts w:ascii="Times New Roman" w:hAnsi="Times New Roman" w:eastAsia="宋体" w:cs="Times New Roman"/>
      <w:sz w:val="21"/>
      <w:lang w:val="en-US" w:eastAsia="zh-CN"/>
    </w:rPr>
  </w:style>
  <w:style w:type="character" w:customStyle="1" w:styleId="10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列出段落2"/>
    <w:basedOn w:val="12"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customStyle="1" w:styleId="12">
    <w:name w:val="正文_0"/>
    <w:qFormat/>
    <w:uiPriority w:val="0"/>
    <w:pPr>
      <w:widowControl w:val="0"/>
      <w:jc w:val="both"/>
    </w:pPr>
    <w:rPr>
      <w:rFonts w:ascii="Tahoma" w:hAnsi="Tahoma" w:eastAsia="宋体" w:cs="Tahoma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2617</Words>
  <Characters>2758</Characters>
  <Lines>0</Lines>
  <Paragraphs>0</Paragraphs>
  <TotalTime>1</TotalTime>
  <ScaleCrop>false</ScaleCrop>
  <LinksUpToDate>false</LinksUpToDate>
  <CharactersWithSpaces>3001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2023-01-12T02:51:00Z</dcterms:created>
  <dc:creator>c、</dc:creator>
  <cp:lastModifiedBy>Administrator</cp:lastModifiedBy>
  <dcterms:modified xsi:type="dcterms:W3CDTF">2023-01-12T06:48:03Z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6E2819071D5D4C0BBACDE4124DFE5B9E</vt:lpwstr>
  </property>
</Properties>
</file>